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840" w:firstLineChars="400"/>
        <w:rPr>
          <w:rFonts w:hint="default"/>
          <w:b/>
          <w:bCs/>
          <w:sz w:val="24"/>
          <w:szCs w:val="24"/>
          <w:lang w:val="en-US" w:eastAsia="zh-CN"/>
        </w:rPr>
      </w:pPr>
      <w:r>
        <w:rPr>
          <w:rFonts w:hint="eastAsia"/>
          <w:lang w:val="en-US" w:eastAsia="zh-CN"/>
        </w:rPr>
        <w:t xml:space="preserve"> </w:t>
      </w:r>
      <w:r>
        <w:rPr>
          <w:rFonts w:hint="eastAsia"/>
          <w:b/>
          <w:bCs/>
          <w:lang w:val="en-US" w:eastAsia="zh-CN"/>
        </w:rPr>
        <w:t xml:space="preserve"> </w:t>
      </w:r>
      <w:r>
        <w:rPr>
          <w:rFonts w:hint="eastAsia"/>
          <w:b/>
          <w:bCs/>
          <w:sz w:val="24"/>
          <w:szCs w:val="24"/>
          <w:lang w:val="en-US" w:eastAsia="zh-CN"/>
        </w:rPr>
        <w:t>海南矿业： 长期股权投资投资收益对企业盈余管理的影响</w:t>
      </w:r>
    </w:p>
    <w:p>
      <w:pPr>
        <w:rPr>
          <w:rFonts w:hint="eastAsia"/>
          <w:b/>
          <w:bCs/>
          <w:sz w:val="24"/>
          <w:szCs w:val="24"/>
          <w:lang w:val="en-US" w:eastAsia="zh-CN"/>
        </w:rPr>
      </w:pPr>
      <w:r>
        <w:rPr>
          <w:rFonts w:hint="eastAsia"/>
          <w:b/>
          <w:bCs/>
          <w:sz w:val="24"/>
          <w:szCs w:val="24"/>
          <w:lang w:val="en-US" w:eastAsia="zh-CN"/>
        </w:rPr>
        <w:t xml:space="preserve">                           </w:t>
      </w:r>
    </w:p>
    <w:p>
      <w:pPr>
        <w:ind w:firstLine="3132" w:firstLineChars="1300"/>
        <w:rPr>
          <w:rFonts w:hint="eastAsia"/>
          <w:b/>
          <w:bCs/>
          <w:sz w:val="24"/>
          <w:szCs w:val="24"/>
          <w:lang w:val="en-US" w:eastAsia="zh-CN"/>
        </w:rPr>
      </w:pPr>
      <w:r>
        <w:rPr>
          <w:rFonts w:hint="eastAsia"/>
          <w:b/>
          <w:bCs/>
          <w:sz w:val="24"/>
          <w:szCs w:val="24"/>
          <w:lang w:val="en-US" w:eastAsia="zh-CN"/>
        </w:rPr>
        <w:t xml:space="preserve">    教学说明</w:t>
      </w:r>
    </w:p>
    <w:p>
      <w:pPr>
        <w:rPr>
          <w:rFonts w:hint="eastAsia"/>
          <w:b/>
          <w:bCs/>
          <w:sz w:val="24"/>
          <w:szCs w:val="24"/>
          <w:lang w:val="en-US" w:eastAsia="zh-CN"/>
        </w:rPr>
      </w:pPr>
      <w:r>
        <w:rPr>
          <w:rFonts w:hint="eastAsia"/>
          <w:b/>
          <w:bCs/>
          <w:sz w:val="24"/>
          <w:szCs w:val="24"/>
          <w:lang w:val="en-US" w:eastAsia="zh-CN"/>
        </w:rPr>
        <w:t>案例概要</w:t>
      </w:r>
    </w:p>
    <w:p>
      <w:pPr>
        <w:ind w:firstLine="420" w:firstLineChars="200"/>
        <w:rPr>
          <w:rFonts w:hint="default" w:eastAsiaTheme="minorEastAsia"/>
          <w:sz w:val="24"/>
          <w:szCs w:val="24"/>
          <w:lang w:val="en-US" w:eastAsia="zh-CN"/>
        </w:rPr>
      </w:pPr>
      <w:r>
        <w:rPr>
          <w:rFonts w:hint="eastAsia"/>
        </w:rPr>
        <w:t>海南矿业是一家以铁矿石采选及销售为主业的股份制企业，于 2014 年 12 月 9 日在上海证券交易所上市。2018 年 4 月 16 日，海南矿业收到了来自上交所的问询函，问询函要求海南矿业就 2018 年 3 月 24 日披露的2017 年报中对中广核股权会计核算方法变更等内容做出解释。2018 年 4 月 28 日，海南矿业就问询函相关问题做出有理有节的回复，篇幅长达 17 页 。但 8 个月后的 2018年 12 月 9 日，海南矿业还是收到来自海南证监局的监管警示函：由于海南矿业未及时披露中广核会计核算方法变更以及处置可供出售金融资产产生的投资收益对当期报表的影响，对其出具警示函并计入资本市场诚信数据库。</w:t>
      </w:r>
      <w:r>
        <w:rPr>
          <w:rFonts w:hint="eastAsia"/>
          <w:lang w:val="en-US" w:eastAsia="zh-CN"/>
        </w:rPr>
        <w:t>本案例介绍了长期股权投资核算方法及金融资产与长期股权投资转换的核算、资产的性质划分等内容，为相关企业对长期股权核算提供相关借鉴，并且为企业对会计政策选择进行盈余管理提供一些思考。</w:t>
      </w:r>
    </w:p>
    <w:p>
      <w:pPr>
        <w:rPr>
          <w:rFonts w:hint="eastAsia"/>
          <w:sz w:val="24"/>
          <w:szCs w:val="24"/>
          <w:lang w:val="en-US" w:eastAsia="zh-CN"/>
        </w:rPr>
      </w:pPr>
    </w:p>
    <w:p>
      <w:pPr>
        <w:rPr>
          <w:rFonts w:hint="eastAsia"/>
          <w:b/>
          <w:bCs/>
          <w:sz w:val="24"/>
          <w:szCs w:val="24"/>
          <w:lang w:val="en-US" w:eastAsia="zh-CN"/>
        </w:rPr>
      </w:pPr>
      <w:r>
        <w:rPr>
          <w:rFonts w:hint="eastAsia"/>
          <w:b/>
          <w:bCs/>
          <w:sz w:val="24"/>
          <w:szCs w:val="24"/>
          <w:lang w:val="en-US" w:eastAsia="zh-CN"/>
        </w:rPr>
        <w:t>在课程中的定位</w:t>
      </w:r>
    </w:p>
    <w:p>
      <w:pPr>
        <w:ind w:firstLine="480"/>
        <w:rPr>
          <w:rFonts w:hint="eastAsia"/>
          <w:sz w:val="24"/>
          <w:szCs w:val="24"/>
          <w:lang w:val="en-US" w:eastAsia="zh-CN"/>
        </w:rPr>
      </w:pPr>
      <w:r>
        <w:rPr>
          <w:rFonts w:hint="eastAsia"/>
          <w:sz w:val="24"/>
          <w:szCs w:val="24"/>
          <w:lang w:val="en-US" w:eastAsia="zh-CN"/>
        </w:rPr>
        <w:t>本案例可用于《中级财务会计》、《高级财务会计》、《财务会计案例教学》、《报表编制与分析》等课程，针对长期股权投资后续计量方法、核算程序、投资收益账户性质、企业盈余管理等话题进行讨论。适用于研究生、本科生及企业财会和其他管理人员学习参考。</w:t>
      </w:r>
    </w:p>
    <w:p>
      <w:pPr>
        <w:ind w:firstLine="480"/>
        <w:rPr>
          <w:rFonts w:hint="eastAsia"/>
          <w:sz w:val="24"/>
          <w:szCs w:val="24"/>
          <w:lang w:val="en-US" w:eastAsia="zh-CN"/>
        </w:rPr>
      </w:pPr>
    </w:p>
    <w:p>
      <w:pPr>
        <w:numPr>
          <w:ilvl w:val="0"/>
          <w:numId w:val="0"/>
        </w:numPr>
        <w:rPr>
          <w:rFonts w:hint="default"/>
          <w:b/>
          <w:bCs/>
          <w:lang w:val="en-US" w:eastAsia="zh-CN"/>
        </w:rPr>
      </w:pPr>
      <w:r>
        <w:rPr>
          <w:rFonts w:hint="eastAsia"/>
          <w:b/>
          <w:bCs/>
          <w:lang w:val="en-US" w:eastAsia="zh-CN"/>
        </w:rPr>
        <w:t>学习目标</w:t>
      </w:r>
    </w:p>
    <w:p>
      <w:pPr>
        <w:numPr>
          <w:ilvl w:val="0"/>
          <w:numId w:val="0"/>
        </w:numPr>
        <w:rPr>
          <w:rFonts w:hint="eastAsia"/>
          <w:lang w:val="en-US" w:eastAsia="zh-CN"/>
        </w:rPr>
      </w:pPr>
      <w:r>
        <w:rPr>
          <w:rFonts w:hint="eastAsia"/>
          <w:lang w:val="en-US" w:eastAsia="zh-CN"/>
        </w:rPr>
        <w:t>1.了解企业长期股权投资涉及投资收益的会计处理；</w:t>
      </w:r>
    </w:p>
    <w:p>
      <w:pPr>
        <w:numPr>
          <w:ilvl w:val="0"/>
          <w:numId w:val="0"/>
        </w:numPr>
        <w:rPr>
          <w:rFonts w:hint="eastAsia"/>
          <w:lang w:val="en-US" w:eastAsia="zh-CN"/>
        </w:rPr>
      </w:pPr>
      <w:r>
        <w:rPr>
          <w:rFonts w:hint="eastAsia"/>
          <w:lang w:val="en-US" w:eastAsia="zh-CN"/>
        </w:rPr>
        <w:t>2.了解企业长期股权投资与金融资产之间转换会计处理的影响；</w:t>
      </w:r>
    </w:p>
    <w:p>
      <w:pPr>
        <w:numPr>
          <w:ilvl w:val="0"/>
          <w:numId w:val="0"/>
        </w:numPr>
        <w:rPr>
          <w:rFonts w:hint="default"/>
          <w:lang w:val="en-US" w:eastAsia="zh-CN"/>
        </w:rPr>
      </w:pPr>
      <w:r>
        <w:rPr>
          <w:rFonts w:hint="eastAsia"/>
          <w:lang w:val="en-US" w:eastAsia="zh-CN"/>
        </w:rPr>
        <w:t>3.了解长期股权投资涉及的投资收益对企业盈余管理的影响。</w:t>
      </w:r>
    </w:p>
    <w:p>
      <w:pPr>
        <w:ind w:firstLine="480"/>
        <w:rPr>
          <w:rFonts w:hint="default"/>
          <w:sz w:val="24"/>
          <w:szCs w:val="24"/>
          <w:lang w:val="en-US" w:eastAsia="zh-CN"/>
        </w:rPr>
      </w:pPr>
    </w:p>
    <w:p>
      <w:pPr>
        <w:ind w:firstLine="480"/>
        <w:rPr>
          <w:rFonts w:hint="default"/>
          <w:sz w:val="24"/>
          <w:szCs w:val="24"/>
          <w:lang w:val="en-US" w:eastAsia="zh-CN"/>
        </w:rPr>
      </w:pPr>
    </w:p>
    <w:p>
      <w:pPr>
        <w:rPr>
          <w:rFonts w:hint="eastAsia"/>
          <w:b/>
          <w:bCs/>
          <w:sz w:val="24"/>
          <w:szCs w:val="24"/>
          <w:lang w:val="en-US" w:eastAsia="zh-CN"/>
        </w:rPr>
      </w:pPr>
      <w:r>
        <w:rPr>
          <w:rFonts w:hint="eastAsia"/>
          <w:b/>
          <w:bCs/>
          <w:sz w:val="24"/>
          <w:szCs w:val="24"/>
          <w:lang w:val="en-US" w:eastAsia="zh-CN"/>
        </w:rPr>
        <w:t>相关阅读资料</w:t>
      </w:r>
    </w:p>
    <w:p>
      <w:pPr>
        <w:numPr>
          <w:ilvl w:val="0"/>
          <w:numId w:val="1"/>
        </w:numPr>
        <w:rPr>
          <w:rFonts w:hint="eastAsia"/>
          <w:lang w:val="en-US" w:eastAsia="zh-CN"/>
        </w:rPr>
      </w:pPr>
      <w:r>
        <w:rPr>
          <w:rFonts w:hint="eastAsia"/>
          <w:lang w:val="en-US" w:eastAsia="zh-CN"/>
        </w:rPr>
        <w:fldChar w:fldCharType="begin"/>
      </w:r>
      <w:r>
        <w:rPr>
          <w:rFonts w:hint="eastAsia"/>
          <w:lang w:val="en-US" w:eastAsia="zh-CN"/>
        </w:rPr>
        <w:instrText xml:space="preserve"> HYPERLINK "https://webvpn.tlu.edu.cn/https/77726476706e69737468656265737421fbf952d2243e635930068cb8/kcms2/author/detail?v=D8qIuhHbuGoS3M7QRsnp0diujDTfHavhE_c19Ow6EHX4r1dvYG-BtqvfijQhgcjpEhEACwRrTkF0wBq-CjD7UUWpoSHGTXGiDMw7a5bNc9Y=&amp;uniplatform=NZKPT" \t "https://webvpn.tlu.edu.cn/https/77726476706e69737468656265737421fbf952d2243e635930068cb8/kcms2/article/_blank" </w:instrText>
      </w:r>
      <w:r>
        <w:rPr>
          <w:rFonts w:hint="eastAsia"/>
          <w:lang w:val="en-US" w:eastAsia="zh-CN"/>
        </w:rPr>
        <w:fldChar w:fldCharType="separate"/>
      </w:r>
      <w:r>
        <w:rPr>
          <w:rFonts w:hint="eastAsia"/>
          <w:lang w:val="en-US" w:eastAsia="zh-CN"/>
        </w:rPr>
        <w:t>付雁薇</w:t>
      </w:r>
      <w:r>
        <w:rPr>
          <w:rFonts w:hint="eastAsia"/>
          <w:lang w:val="en-US" w:eastAsia="zh-CN"/>
        </w:rPr>
        <w:fldChar w:fldCharType="end"/>
      </w:r>
      <w:r>
        <w:rPr>
          <w:rFonts w:hint="eastAsia"/>
          <w:lang w:val="en-US" w:eastAsia="zh-CN"/>
        </w:rPr>
        <w:t>，新会计准则下的长期股权投资会计核算方法分析[J].中国集体经济，2022（25）：116-118</w:t>
      </w:r>
    </w:p>
    <w:p>
      <w:pPr>
        <w:pStyle w:val="2"/>
        <w:keepNext w:val="0"/>
        <w:keepLines w:val="0"/>
        <w:widowControl/>
        <w:suppressLineNumbers w:val="0"/>
        <w:shd w:val="clear" w:fill="FFFFFF"/>
        <w:spacing w:before="0" w:beforeAutospacing="0" w:after="0" w:afterAutospacing="0" w:line="420" w:lineRule="atLeast"/>
        <w:ind w:left="0" w:right="0" w:firstLine="0"/>
        <w:jc w:val="both"/>
        <w:textAlignment w:val="center"/>
        <w:rPr>
          <w:rFonts w:hint="default"/>
          <w:sz w:val="24"/>
          <w:szCs w:val="24"/>
          <w:lang w:val="en-US" w:eastAsia="zh-CN"/>
        </w:rPr>
      </w:pPr>
      <w:r>
        <w:rPr>
          <w:rFonts w:hint="eastAsia" w:asciiTheme="minorHAnsi" w:hAnsiTheme="minorHAnsi" w:eastAsiaTheme="minorEastAsia" w:cstheme="minorBidi"/>
          <w:b w:val="0"/>
          <w:bCs w:val="0"/>
          <w:kern w:val="2"/>
          <w:sz w:val="21"/>
          <w:szCs w:val="24"/>
          <w:lang w:val="en-US" w:eastAsia="zh-CN" w:bidi="ar-SA"/>
        </w:rPr>
        <w:t>2.</w:t>
      </w:r>
      <w:r>
        <w:rPr>
          <w:rFonts w:hint="eastAsia" w:asciiTheme="minorHAnsi" w:hAnsiTheme="minorHAnsi" w:eastAsiaTheme="minorEastAsia" w:cstheme="minorBidi"/>
          <w:b w:val="0"/>
          <w:bCs w:val="0"/>
          <w:kern w:val="2"/>
          <w:sz w:val="21"/>
          <w:szCs w:val="24"/>
          <w:lang w:val="en-US" w:eastAsia="zh-CN" w:bidi="ar-SA"/>
        </w:rPr>
        <w:fldChar w:fldCharType="begin"/>
      </w:r>
      <w:r>
        <w:rPr>
          <w:rFonts w:hint="eastAsia" w:asciiTheme="minorHAnsi" w:hAnsiTheme="minorHAnsi" w:eastAsiaTheme="minorEastAsia" w:cstheme="minorBidi"/>
          <w:b w:val="0"/>
          <w:bCs w:val="0"/>
          <w:kern w:val="2"/>
          <w:sz w:val="21"/>
          <w:szCs w:val="24"/>
          <w:lang w:val="en-US" w:eastAsia="zh-CN" w:bidi="ar-SA"/>
        </w:rPr>
        <w:instrText xml:space="preserve"> HYPERLINK "https://webvpn.tlu.edu.cn/https/77726476706e69737468656265737421fbf952d2243e635930068cb8/kcms2/author/detail?v=D8qIuhHbuGqZxti50lA9oqw73NBAz7LF6SAdvKBUnyFgYjHaRGPaFckpFfzfnYxnyZkLGr5cLpKH3BbJC2iN5bURzPsTjIdNsUgI_YbhXhA=&amp;uniplatform=NZKPT" \t "https://webvpn.tlu.edu.cn/https/77726476706e69737468656265737421fbf952d2243e635930068cb8/kcms2/article/_blank" </w:instrText>
      </w:r>
      <w:r>
        <w:rPr>
          <w:rFonts w:hint="eastAsia" w:asciiTheme="minorHAnsi" w:hAnsiTheme="minorHAnsi" w:eastAsiaTheme="minorEastAsia" w:cstheme="minorBidi"/>
          <w:b w:val="0"/>
          <w:bCs w:val="0"/>
          <w:kern w:val="2"/>
          <w:sz w:val="21"/>
          <w:szCs w:val="24"/>
          <w:lang w:val="en-US" w:eastAsia="zh-CN" w:bidi="ar-SA"/>
        </w:rPr>
        <w:fldChar w:fldCharType="separate"/>
      </w:r>
      <w:r>
        <w:rPr>
          <w:rFonts w:hint="eastAsia" w:asciiTheme="minorHAnsi" w:hAnsiTheme="minorHAnsi" w:eastAsiaTheme="minorEastAsia" w:cstheme="minorBidi"/>
          <w:b w:val="0"/>
          <w:bCs w:val="0"/>
          <w:kern w:val="2"/>
          <w:sz w:val="21"/>
          <w:szCs w:val="24"/>
          <w:lang w:val="en-US" w:eastAsia="zh-CN" w:bidi="ar-SA"/>
        </w:rPr>
        <w:t>钱建伟，</w:t>
      </w:r>
      <w:r>
        <w:rPr>
          <w:rFonts w:hint="eastAsia" w:asciiTheme="minorHAnsi" w:hAnsiTheme="minorHAnsi" w:eastAsiaTheme="minorEastAsia" w:cstheme="minorBidi"/>
          <w:b w:val="0"/>
          <w:bCs w:val="0"/>
          <w:kern w:val="2"/>
          <w:sz w:val="21"/>
          <w:szCs w:val="24"/>
          <w:lang w:val="en-US" w:eastAsia="zh-CN" w:bidi="ar-SA"/>
        </w:rPr>
        <w:fldChar w:fldCharType="end"/>
      </w:r>
      <w:r>
        <w:rPr>
          <w:rFonts w:hint="eastAsia" w:asciiTheme="minorHAnsi" w:hAnsiTheme="minorHAnsi" w:eastAsiaTheme="minorEastAsia" w:cstheme="minorBidi"/>
          <w:b w:val="0"/>
          <w:bCs w:val="0"/>
          <w:kern w:val="2"/>
          <w:sz w:val="21"/>
          <w:szCs w:val="24"/>
          <w:lang w:val="en-US" w:eastAsia="zh-CN" w:bidi="ar-SA"/>
        </w:rPr>
        <w:fldChar w:fldCharType="begin"/>
      </w:r>
      <w:r>
        <w:rPr>
          <w:rFonts w:hint="eastAsia" w:asciiTheme="minorHAnsi" w:hAnsiTheme="minorHAnsi" w:eastAsiaTheme="minorEastAsia" w:cstheme="minorBidi"/>
          <w:b w:val="0"/>
          <w:bCs w:val="0"/>
          <w:kern w:val="2"/>
          <w:sz w:val="21"/>
          <w:szCs w:val="24"/>
          <w:lang w:val="en-US" w:eastAsia="zh-CN" w:bidi="ar-SA"/>
        </w:rPr>
        <w:instrText xml:space="preserve"> HYPERLINK "https://webvpn.tlu.edu.cn/https/77726476706e69737468656265737421fbf952d2243e635930068cb8/kcms2/author/detail?v=D8qIuhHbuGqZxti50lA9oqw73NBAz7LFk17d2OZ08M7sBFyjZdvd-a6SUm738q2uLwNQwlydw_c70rkxabXC2qcwb9sg53lyQJSUZNEa-WM=&amp;uniplatform=NZKPT" \t "https://webvpn.tlu.edu.cn/https/77726476706e69737468656265737421fbf952d2243e635930068cb8/kcms2/article/_blank" </w:instrText>
      </w:r>
      <w:r>
        <w:rPr>
          <w:rFonts w:hint="eastAsia" w:asciiTheme="minorHAnsi" w:hAnsiTheme="minorHAnsi" w:eastAsiaTheme="minorEastAsia" w:cstheme="minorBidi"/>
          <w:b w:val="0"/>
          <w:bCs w:val="0"/>
          <w:kern w:val="2"/>
          <w:sz w:val="21"/>
          <w:szCs w:val="24"/>
          <w:lang w:val="en-US" w:eastAsia="zh-CN" w:bidi="ar-SA"/>
        </w:rPr>
        <w:fldChar w:fldCharType="separate"/>
      </w:r>
      <w:r>
        <w:rPr>
          <w:rFonts w:hint="eastAsia" w:asciiTheme="minorHAnsi" w:hAnsiTheme="minorHAnsi" w:eastAsiaTheme="minorEastAsia" w:cstheme="minorBidi"/>
          <w:b w:val="0"/>
          <w:bCs w:val="0"/>
          <w:kern w:val="2"/>
          <w:sz w:val="21"/>
          <w:szCs w:val="24"/>
          <w:lang w:val="en-US" w:eastAsia="zh-CN" w:bidi="ar-SA"/>
        </w:rPr>
        <w:t>张娴，</w:t>
      </w:r>
      <w:r>
        <w:rPr>
          <w:rFonts w:hint="eastAsia" w:asciiTheme="minorHAnsi" w:hAnsiTheme="minorHAnsi" w:eastAsiaTheme="minorEastAsia" w:cstheme="minorBidi"/>
          <w:b w:val="0"/>
          <w:bCs w:val="0"/>
          <w:kern w:val="2"/>
          <w:sz w:val="21"/>
          <w:szCs w:val="24"/>
          <w:lang w:val="en-US" w:eastAsia="zh-CN" w:bidi="ar-SA"/>
        </w:rPr>
        <w:fldChar w:fldCharType="end"/>
      </w:r>
      <w:r>
        <w:rPr>
          <w:rFonts w:hint="eastAsia" w:asciiTheme="minorHAnsi" w:hAnsiTheme="minorHAnsi" w:eastAsiaTheme="minorEastAsia" w:cstheme="minorBidi"/>
          <w:b w:val="0"/>
          <w:bCs w:val="0"/>
          <w:kern w:val="2"/>
          <w:sz w:val="21"/>
          <w:szCs w:val="24"/>
          <w:lang w:val="en-US" w:eastAsia="zh-CN" w:bidi="ar-SA"/>
        </w:rPr>
        <w:fldChar w:fldCharType="begin"/>
      </w:r>
      <w:r>
        <w:rPr>
          <w:rFonts w:hint="eastAsia" w:asciiTheme="minorHAnsi" w:hAnsiTheme="minorHAnsi" w:eastAsiaTheme="minorEastAsia" w:cstheme="minorBidi"/>
          <w:b w:val="0"/>
          <w:bCs w:val="0"/>
          <w:kern w:val="2"/>
          <w:sz w:val="21"/>
          <w:szCs w:val="24"/>
          <w:lang w:val="en-US" w:eastAsia="zh-CN" w:bidi="ar-SA"/>
        </w:rPr>
        <w:instrText xml:space="preserve"> HYPERLINK "https://webvpn.tlu.edu.cn/https/77726476706e69737468656265737421fbf952d2243e635930068cb8/kcms2/author/detail?v=D8qIuhHbuGqZxti50lA9oqw73NBAz7LF13VOmJl4gMCCbHYPS_8JL7kv1UsnjPp8xoqhkHmjVB1BkpJzvHNYC5mBfnMevRyMmemcUda0rcE=&amp;uniplatform=NZKPT" \t "https://webvpn.tlu.edu.cn/https/77726476706e69737468656265737421fbf952d2243e635930068cb8/kcms2/article/_blank" </w:instrText>
      </w:r>
      <w:r>
        <w:rPr>
          <w:rFonts w:hint="eastAsia" w:asciiTheme="minorHAnsi" w:hAnsiTheme="minorHAnsi" w:eastAsiaTheme="minorEastAsia" w:cstheme="minorBidi"/>
          <w:b w:val="0"/>
          <w:bCs w:val="0"/>
          <w:kern w:val="2"/>
          <w:sz w:val="21"/>
          <w:szCs w:val="24"/>
          <w:lang w:val="en-US" w:eastAsia="zh-CN" w:bidi="ar-SA"/>
        </w:rPr>
        <w:fldChar w:fldCharType="separate"/>
      </w:r>
      <w:r>
        <w:rPr>
          <w:rFonts w:hint="eastAsia" w:asciiTheme="minorHAnsi" w:hAnsiTheme="minorHAnsi" w:eastAsiaTheme="minorEastAsia" w:cstheme="minorBidi"/>
          <w:b w:val="0"/>
          <w:bCs w:val="0"/>
          <w:kern w:val="2"/>
          <w:sz w:val="21"/>
          <w:szCs w:val="24"/>
          <w:lang w:val="en-US" w:eastAsia="zh-CN" w:bidi="ar-SA"/>
        </w:rPr>
        <w:t>叶建芳.</w:t>
      </w:r>
      <w:r>
        <w:rPr>
          <w:rFonts w:hint="eastAsia" w:asciiTheme="minorHAnsi" w:hAnsiTheme="minorHAnsi" w:eastAsiaTheme="minorEastAsia" w:cstheme="minorBidi"/>
          <w:b w:val="0"/>
          <w:bCs w:val="0"/>
          <w:kern w:val="2"/>
          <w:sz w:val="21"/>
          <w:szCs w:val="24"/>
          <w:lang w:val="en-US" w:eastAsia="zh-CN" w:bidi="ar-SA"/>
        </w:rPr>
        <w:fldChar w:fldCharType="end"/>
      </w:r>
      <w:r>
        <w:rPr>
          <w:rFonts w:hint="eastAsia" w:asciiTheme="minorHAnsi" w:hAnsiTheme="minorHAnsi" w:eastAsiaTheme="minorEastAsia" w:cstheme="minorBidi"/>
          <w:b w:val="0"/>
          <w:bCs w:val="0"/>
          <w:kern w:val="2"/>
          <w:sz w:val="21"/>
          <w:szCs w:val="24"/>
          <w:lang w:val="en-US" w:eastAsia="zh-CN" w:bidi="ar-SA"/>
        </w:rPr>
        <w:t>长期股权投资权益法的思考——以联想控股为例[J].财会月刊.2022（16）：132-140</w:t>
      </w:r>
    </w:p>
    <w:p>
      <w:pPr>
        <w:rPr>
          <w:rFonts w:hint="default"/>
          <w:sz w:val="24"/>
          <w:szCs w:val="24"/>
          <w:lang w:val="en-US" w:eastAsia="zh-CN"/>
        </w:rPr>
      </w:pPr>
    </w:p>
    <w:p>
      <w:pPr>
        <w:rPr>
          <w:rFonts w:hint="eastAsia"/>
          <w:b/>
          <w:bCs/>
          <w:sz w:val="24"/>
          <w:szCs w:val="24"/>
          <w:lang w:val="en-US" w:eastAsia="zh-CN"/>
        </w:rPr>
      </w:pPr>
      <w:r>
        <w:rPr>
          <w:rFonts w:hint="eastAsia"/>
          <w:b/>
          <w:bCs/>
          <w:sz w:val="24"/>
          <w:szCs w:val="24"/>
          <w:lang w:val="en-US" w:eastAsia="zh-CN"/>
        </w:rPr>
        <w:t>讨论问题</w:t>
      </w:r>
    </w:p>
    <w:p>
      <w:pPr>
        <w:ind w:firstLine="420" w:firstLineChars="200"/>
        <w:rPr>
          <w:rFonts w:hint="default"/>
          <w:lang w:val="en-US" w:eastAsia="zh-CN"/>
        </w:rPr>
      </w:pPr>
      <w:r>
        <w:rPr>
          <w:rFonts w:hint="eastAsia"/>
          <w:lang w:eastAsia="zh-CN"/>
        </w:rPr>
        <w:t>试分析案例公司是否存在因为长期股权投资投资收益进行盈余管理之嫌？</w:t>
      </w:r>
    </w:p>
    <w:p>
      <w:pPr>
        <w:rPr>
          <w:rFonts w:hint="default"/>
          <w:b/>
          <w:bCs/>
          <w:sz w:val="24"/>
          <w:szCs w:val="24"/>
          <w:lang w:val="en-US" w:eastAsia="zh-CN"/>
        </w:rPr>
      </w:pPr>
    </w:p>
    <w:p>
      <w:pPr>
        <w:rPr>
          <w:rFonts w:hint="default"/>
          <w:b/>
          <w:bCs/>
          <w:sz w:val="24"/>
          <w:szCs w:val="24"/>
          <w:lang w:val="en-US" w:eastAsia="zh-CN"/>
        </w:rPr>
      </w:pPr>
    </w:p>
    <w:p>
      <w:pPr>
        <w:rPr>
          <w:rFonts w:hint="eastAsia"/>
          <w:b/>
          <w:bCs/>
          <w:sz w:val="24"/>
          <w:szCs w:val="24"/>
          <w:lang w:val="en-US" w:eastAsia="zh-CN"/>
        </w:rPr>
      </w:pPr>
      <w:r>
        <w:rPr>
          <w:rFonts w:hint="eastAsia"/>
          <w:b/>
          <w:bCs/>
          <w:sz w:val="24"/>
          <w:szCs w:val="24"/>
          <w:lang w:val="en-US" w:eastAsia="zh-CN"/>
        </w:rPr>
        <w:t>教学计划</w:t>
      </w:r>
    </w:p>
    <w:p>
      <w:pPr>
        <w:rPr>
          <w:rFonts w:hint="eastAsia"/>
          <w:b w:val="0"/>
          <w:bCs w:val="0"/>
          <w:sz w:val="24"/>
          <w:szCs w:val="24"/>
          <w:lang w:val="en-US" w:eastAsia="zh-CN"/>
        </w:rPr>
      </w:pPr>
      <w:r>
        <w:rPr>
          <w:rFonts w:hint="eastAsia"/>
          <w:b/>
          <w:bCs/>
          <w:sz w:val="24"/>
          <w:szCs w:val="24"/>
          <w:lang w:val="en-US" w:eastAsia="zh-CN"/>
        </w:rPr>
        <w:t xml:space="preserve">   </w:t>
      </w:r>
      <w:r>
        <w:rPr>
          <w:rFonts w:hint="eastAsia"/>
          <w:b w:val="0"/>
          <w:bCs w:val="0"/>
          <w:sz w:val="24"/>
          <w:szCs w:val="24"/>
          <w:lang w:val="en-US" w:eastAsia="zh-CN"/>
        </w:rPr>
        <w:t>本案例的学习预计在40分钟左右，教师可以按照课堂实际情况灵活调整时间。</w:t>
      </w:r>
    </w:p>
    <w:p>
      <w:pPr>
        <w:rPr>
          <w:rFonts w:hint="default"/>
          <w:b w:val="0"/>
          <w:bCs w:val="0"/>
          <w:sz w:val="24"/>
          <w:szCs w:val="24"/>
          <w:vertAlign w:val="baseline"/>
          <w:lang w:val="en-US" w:eastAsia="zh-CN"/>
        </w:rPr>
      </w:pPr>
      <w:r>
        <w:rPr>
          <w:rFonts w:hint="eastAsia"/>
          <w:b w:val="0"/>
          <w:bCs w:val="0"/>
          <w:sz w:val="24"/>
          <w:szCs w:val="24"/>
          <w:lang w:val="en-US" w:eastAsia="zh-CN"/>
        </w:rPr>
        <w:t xml:space="preserve">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183"/>
        <w:gridCol w:w="3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40" w:hRule="atLeast"/>
        </w:trPr>
        <w:tc>
          <w:tcPr>
            <w:tcW w:w="4183" w:type="dxa"/>
          </w:tcPr>
          <w:p>
            <w:pPr>
              <w:rPr>
                <w:rFonts w:hint="default"/>
                <w:b w:val="0"/>
                <w:bCs w:val="0"/>
                <w:sz w:val="24"/>
                <w:szCs w:val="24"/>
                <w:vertAlign w:val="baseline"/>
                <w:lang w:val="en-US" w:eastAsia="zh-CN"/>
              </w:rPr>
            </w:pPr>
            <w:r>
              <w:rPr>
                <w:rFonts w:hint="eastAsia"/>
                <w:b w:val="0"/>
                <w:bCs w:val="0"/>
                <w:sz w:val="24"/>
                <w:szCs w:val="24"/>
                <w:vertAlign w:val="baseline"/>
                <w:lang w:val="en-US" w:eastAsia="zh-CN"/>
              </w:rPr>
              <w:t xml:space="preserve"> 讨论问题</w:t>
            </w:r>
          </w:p>
        </w:tc>
        <w:tc>
          <w:tcPr>
            <w:tcW w:w="3444" w:type="dxa"/>
          </w:tcPr>
          <w:p>
            <w:pPr>
              <w:rPr>
                <w:rFonts w:hint="default"/>
                <w:b w:val="0"/>
                <w:bCs w:val="0"/>
                <w:sz w:val="24"/>
                <w:szCs w:val="24"/>
                <w:vertAlign w:val="baseline"/>
                <w:lang w:val="en-US" w:eastAsia="zh-CN"/>
              </w:rPr>
            </w:pPr>
            <w:r>
              <w:rPr>
                <w:rFonts w:hint="eastAsia"/>
                <w:b w:val="0"/>
                <w:bCs w:val="0"/>
                <w:sz w:val="24"/>
                <w:szCs w:val="24"/>
                <w:vertAlign w:val="baseline"/>
                <w:lang w:val="en-US" w:eastAsia="zh-CN"/>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183" w:type="dxa"/>
          </w:tcPr>
          <w:p>
            <w:pPr>
              <w:rPr>
                <w:rFonts w:hint="default"/>
                <w:b w:val="0"/>
                <w:bCs w:val="0"/>
                <w:sz w:val="24"/>
                <w:szCs w:val="24"/>
                <w:vertAlign w:val="baseline"/>
                <w:lang w:val="en-US" w:eastAsia="zh-CN"/>
              </w:rPr>
            </w:pPr>
            <w:r>
              <w:rPr>
                <w:rFonts w:hint="eastAsia"/>
                <w:b w:val="0"/>
                <w:bCs w:val="0"/>
                <w:sz w:val="24"/>
                <w:szCs w:val="24"/>
                <w:vertAlign w:val="baseline"/>
                <w:lang w:val="en-US" w:eastAsia="zh-CN"/>
              </w:rPr>
              <w:t>热身问题（资产性质划分，企业利润构成，资产与利润的配比关系，核心利润占比等）</w:t>
            </w:r>
          </w:p>
        </w:tc>
        <w:tc>
          <w:tcPr>
            <w:tcW w:w="3444" w:type="dxa"/>
          </w:tcPr>
          <w:p>
            <w:pPr>
              <w:rPr>
                <w:rFonts w:hint="default"/>
                <w:b w:val="0"/>
                <w:bCs w:val="0"/>
                <w:sz w:val="24"/>
                <w:szCs w:val="24"/>
                <w:vertAlign w:val="baseline"/>
                <w:lang w:val="en-US" w:eastAsia="zh-CN"/>
              </w:rPr>
            </w:pPr>
            <w:r>
              <w:rPr>
                <w:rFonts w:hint="eastAsia"/>
                <w:b w:val="0"/>
                <w:bCs w:val="0"/>
                <w:sz w:val="24"/>
                <w:szCs w:val="24"/>
                <w:vertAlign w:val="baseline"/>
                <w:lang w:val="en-US" w:eastAsia="zh-CN"/>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183" w:type="dxa"/>
          </w:tcPr>
          <w:p>
            <w:pPr>
              <w:rPr>
                <w:rFonts w:hint="default"/>
                <w:b w:val="0"/>
                <w:bCs w:val="0"/>
                <w:sz w:val="24"/>
                <w:szCs w:val="24"/>
                <w:vertAlign w:val="baseline"/>
                <w:lang w:val="en-US" w:eastAsia="zh-CN"/>
              </w:rPr>
            </w:pPr>
            <w:r>
              <w:rPr>
                <w:rFonts w:hint="eastAsia"/>
                <w:b w:val="0"/>
                <w:bCs w:val="0"/>
                <w:sz w:val="24"/>
                <w:szCs w:val="24"/>
                <w:vertAlign w:val="baseline"/>
                <w:lang w:val="en-US" w:eastAsia="zh-CN"/>
              </w:rPr>
              <w:t>讨论问题</w:t>
            </w:r>
          </w:p>
        </w:tc>
        <w:tc>
          <w:tcPr>
            <w:tcW w:w="3444" w:type="dxa"/>
          </w:tcPr>
          <w:p>
            <w:pPr>
              <w:rPr>
                <w:rFonts w:hint="default"/>
                <w:b w:val="0"/>
                <w:bCs w:val="0"/>
                <w:sz w:val="24"/>
                <w:szCs w:val="24"/>
                <w:vertAlign w:val="baseline"/>
                <w:lang w:val="en-US" w:eastAsia="zh-CN"/>
              </w:rPr>
            </w:pPr>
            <w:r>
              <w:rPr>
                <w:rFonts w:hint="eastAsia"/>
                <w:b w:val="0"/>
                <w:bCs w:val="0"/>
                <w:sz w:val="24"/>
                <w:szCs w:val="24"/>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183" w:type="dxa"/>
          </w:tcPr>
          <w:p>
            <w:pPr>
              <w:rPr>
                <w:rFonts w:hint="default"/>
                <w:b w:val="0"/>
                <w:bCs w:val="0"/>
                <w:sz w:val="24"/>
                <w:szCs w:val="24"/>
                <w:vertAlign w:val="baseline"/>
                <w:lang w:val="en-US" w:eastAsia="zh-CN"/>
              </w:rPr>
            </w:pPr>
            <w:r>
              <w:rPr>
                <w:rFonts w:hint="eastAsia"/>
                <w:b w:val="0"/>
                <w:bCs w:val="0"/>
                <w:sz w:val="24"/>
                <w:szCs w:val="24"/>
                <w:vertAlign w:val="baseline"/>
                <w:lang w:val="en-US" w:eastAsia="zh-CN"/>
              </w:rPr>
              <w:t>总结</w:t>
            </w:r>
          </w:p>
        </w:tc>
        <w:tc>
          <w:tcPr>
            <w:tcW w:w="3444" w:type="dxa"/>
          </w:tcPr>
          <w:p>
            <w:pPr>
              <w:rPr>
                <w:rFonts w:hint="default"/>
                <w:b w:val="0"/>
                <w:bCs w:val="0"/>
                <w:sz w:val="24"/>
                <w:szCs w:val="24"/>
                <w:vertAlign w:val="baseline"/>
                <w:lang w:val="en-US" w:eastAsia="zh-CN"/>
              </w:rPr>
            </w:pPr>
            <w:r>
              <w:rPr>
                <w:rFonts w:hint="eastAsia"/>
                <w:b w:val="0"/>
                <w:bCs w:val="0"/>
                <w:sz w:val="24"/>
                <w:szCs w:val="24"/>
                <w:vertAlign w:val="baseline"/>
                <w:lang w:val="en-US" w:eastAsia="zh-CN"/>
              </w:rPr>
              <w:t>5分钟</w:t>
            </w:r>
          </w:p>
        </w:tc>
      </w:tr>
    </w:tbl>
    <w:p>
      <w:pPr>
        <w:rPr>
          <w:rFonts w:hint="default"/>
          <w:b w:val="0"/>
          <w:bCs w:val="0"/>
          <w:sz w:val="24"/>
          <w:szCs w:val="24"/>
          <w:lang w:val="en-US" w:eastAsia="zh-CN"/>
        </w:rPr>
      </w:pPr>
    </w:p>
    <w:p>
      <w:pPr>
        <w:rPr>
          <w:rFonts w:hint="eastAsia"/>
          <w:b/>
          <w:bCs/>
          <w:sz w:val="24"/>
          <w:szCs w:val="24"/>
          <w:lang w:val="en-US" w:eastAsia="zh-CN"/>
        </w:rPr>
      </w:pPr>
      <w:r>
        <w:rPr>
          <w:rFonts w:hint="eastAsia"/>
          <w:b/>
          <w:bCs/>
          <w:sz w:val="24"/>
          <w:szCs w:val="24"/>
          <w:lang w:val="en-US" w:eastAsia="zh-CN"/>
        </w:rPr>
        <w:t>讨论问题分析</w:t>
      </w:r>
    </w:p>
    <w:p>
      <w:pPr>
        <w:ind w:firstLine="482" w:firstLineChars="200"/>
        <w:rPr>
          <w:rFonts w:hint="default"/>
          <w:b/>
          <w:bCs/>
          <w:lang w:val="en-US" w:eastAsia="zh-CN"/>
        </w:rPr>
      </w:pPr>
      <w:r>
        <w:rPr>
          <w:rFonts w:hint="eastAsia"/>
          <w:b/>
          <w:bCs/>
          <w:sz w:val="24"/>
          <w:szCs w:val="24"/>
          <w:lang w:val="en-US" w:eastAsia="zh-CN"/>
        </w:rPr>
        <w:t xml:space="preserve"> </w:t>
      </w:r>
      <w:r>
        <w:rPr>
          <w:rFonts w:hint="eastAsia"/>
          <w:b/>
          <w:bCs/>
          <w:lang w:eastAsia="zh-CN"/>
        </w:rPr>
        <w:t>试分析案例公司是否存在因为长期股权投资投资收益进行盈余管理之嫌？</w:t>
      </w:r>
    </w:p>
    <w:p>
      <w:pPr>
        <w:numPr>
          <w:ilvl w:val="0"/>
          <w:numId w:val="0"/>
        </w:numPr>
        <w:ind w:firstLine="420" w:firstLineChars="200"/>
        <w:rPr>
          <w:rFonts w:hint="eastAsia"/>
          <w:lang w:eastAsia="zh-CN"/>
        </w:rPr>
      </w:pPr>
      <w:r>
        <w:rPr>
          <w:rFonts w:hint="eastAsia"/>
          <w:lang w:val="en-US" w:eastAsia="zh-CN"/>
        </w:rPr>
        <w:t>1.</w:t>
      </w:r>
      <w:r>
        <w:rPr>
          <w:rFonts w:hint="eastAsia"/>
        </w:rPr>
        <w:t>为了分析海南矿业究竟是否利用投资收益进行盈余管理，首先，按资产是否属于投资性划分为投资性资产和经营性资产</w:t>
      </w:r>
      <w:r>
        <w:rPr>
          <w:rFonts w:hint="eastAsia"/>
          <w:lang w:eastAsia="zh-CN"/>
        </w:rPr>
        <w:t>，</w:t>
      </w:r>
      <w:r>
        <w:rPr>
          <w:rFonts w:hint="eastAsia"/>
        </w:rPr>
        <w:t>分析其占总资产的比重；其次，分析利润构成，尤其是投资收益对营业利润或净利润的贡献情况；最后，将两者进行比对，看其是否存在匹配关系，从而判断是否存在利用投资收益进行盈余管理的行为。根据表 1，海南矿业 2014 年上市后，总资产规模较上市之前有所上升，经营性资产占比大于 90%，投资性资产比重在上市后明显增加，但总体占比不高（最高为 9.46%，最低为 0.05%），说明海南矿业的经营性资产一直占据绝对主导地位。根据公司年报，公司的主营业务一直都是铁矿石的采选及销售，业务模式并未发生变化，即是一家主营业务非常突出的经营性公司，其资产结构与业务模式相</w:t>
      </w:r>
      <w:r>
        <w:rPr>
          <w:rFonts w:hint="eastAsia"/>
          <w:lang w:eastAsia="zh-CN"/>
        </w:rPr>
        <w:t>一致。</w:t>
      </w:r>
    </w:p>
    <w:p>
      <w:pPr>
        <w:ind w:firstLine="420" w:firstLineChars="200"/>
        <w:rPr>
          <w:rFonts w:hint="eastAsia"/>
          <w:lang w:eastAsia="zh-CN"/>
        </w:rPr>
      </w:pPr>
      <w:r>
        <w:rPr>
          <w:rFonts w:hint="eastAsia"/>
          <w:lang w:val="en-US" w:eastAsia="zh-CN"/>
        </w:rPr>
        <w:t>2.</w:t>
      </w:r>
      <w:r>
        <w:rPr>
          <w:rFonts w:hint="eastAsia"/>
          <w:lang w:eastAsia="zh-CN"/>
        </w:rPr>
        <w:t>为便于分析，通常将传统狭义的经营活动所形成的利润定义为“核心利润” 。根据表2，2014 年上市前，海南矿业的核心利润率均在 97.79%以上，与资产构成情况高度匹配。但 2014 年上市后则呈现出“过山车式”的下滑，五年三负，而投资收益却逐年增加，与其资产分布状况极不匹配。进一步分析发现，扣除投资收益的净利润及投资收益的营业利润，除 2014 年外，2015—2018 年连续为负。根据我国股票上市规则，上市公司连续两个会计年度经审计归属于上市公司股东的净利润为负值将被ST，连续三年为负将面临退市预警（即 *ST）。由此可见，海南矿业确实存在利用投资收益来避免被 ST、*ST 的动机与行为，但这却是在会计准则框架内进行的，若其能及时披露，可谓“合法合规”。</w:t>
      </w:r>
    </w:p>
    <w:p>
      <w:pPr>
        <w:numPr>
          <w:ilvl w:val="0"/>
          <w:numId w:val="0"/>
        </w:numPr>
        <w:rPr>
          <w:rFonts w:hint="default"/>
          <w:lang w:val="en-US" w:eastAsia="zh-CN"/>
        </w:rPr>
      </w:pPr>
      <w:r>
        <w:rPr>
          <w:rFonts w:hint="eastAsia"/>
          <w:lang w:val="en-US" w:eastAsia="zh-CN"/>
        </w:rPr>
        <w:t xml:space="preserve">    3.根据表 4，海南矿业 2017 年投资收益总额远高于其他年份，主要是长期股权投资转换为金融资产及处置可供出售金融资产所致，二者合计高达 9 639.2 万元，占当年投资收益总额的 65.7%。根据表 3，处置金融资产、长期股权投资及两者之间的相互转换（相当于资产处置）所产生的投资收益均不具有可重复性，且其产生均与管理当局处置时点”的选择密切相关。若扣除处置金融资产和长期股权投资所形成的不具有可重复性的投资收益，则其净利润连续三年均为负数，难逃 *ST。另外，之所以 2017 年金融处置损益出现巨额增加也可能与新 CAS22 出台并于2019 年实施有关，因为按照新 CAS22，处置可供出售的权益性金融资产（现准则已变更为以公允价值计量且其变动计入其他综合收益的金融资产</w:t>
      </w:r>
      <w:bookmarkStart w:id="0" w:name="_GoBack"/>
      <w:bookmarkEnd w:id="0"/>
      <w:r>
        <w:rPr>
          <w:rFonts w:hint="eastAsia"/>
          <w:lang w:val="en-US" w:eastAsia="zh-CN"/>
        </w:rPr>
        <w:t>）将不允许将其处置价差及累计公允价值变动部分计入当期投资收益，于是趁机将“储存”在金融资产中的利润提前释放。从表 1 可以看出海南矿业 2018 年金融资产金额和比重都大幅减少，从表 4 也可以看到2018 年投资收益总额大幅下降且没有处置形成的投资收益。所以，尽管海南矿业“有理有据”地提供了长达 17 页回函，可 8 个月后还是受到海南证监局的监管警示，但这相比于被 *ST 或退市而言简直是“太划算”了。</w:t>
      </w:r>
    </w:p>
    <w:p>
      <w:pPr>
        <w:numPr>
          <w:ilvl w:val="0"/>
          <w:numId w:val="0"/>
        </w:numPr>
        <w:rPr>
          <w:rFonts w:hint="default"/>
          <w:lang w:val="en-US" w:eastAsia="zh-CN"/>
        </w:rPr>
      </w:pPr>
    </w:p>
    <w:p>
      <w:pPr>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B24E4E"/>
    <w:multiLevelType w:val="singleLevel"/>
    <w:tmpl w:val="0FB24E4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yZDhiYzg3Yjk5NTBiZGNmOTM4MjBlODIyNTIzNDMifQ=="/>
  </w:docVars>
  <w:rsids>
    <w:rsidRoot w:val="00000000"/>
    <w:rsid w:val="05C07B0D"/>
    <w:rsid w:val="28FA6C5F"/>
    <w:rsid w:val="62712E97"/>
    <w:rsid w:val="70EE1B56"/>
    <w:rsid w:val="782B18E2"/>
    <w:rsid w:val="7DB3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2023-10-06T07:16:05Z</dcterms:created>
  <dc:creator>jingd</dc:creator>
  <cp:lastModifiedBy>尚恩</cp:lastModifiedBy>
  <dcterms:modified xsi:type="dcterms:W3CDTF">2023-10-06T08:03:05Z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57653E76FD3F4054847A9F75A857266F_12</vt:lpwstr>
  </property>
</Properties>
</file>